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Controlled attenuation parameter, dB/m (beta coefficient 22.50 (95% CI 13.77 to 31.24), false discovery rate q 0.001)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22.50 (95% CI 13.77 to 31.24)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11.2%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