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Controlled attenuation parameter, dB/m (beta coefficient per 1-SD 35.21 (95% CI 32.99 to 37.44), false discovery rate q &lt;0.001) among 3001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35.21 (95% CI 32.99 to 37.44)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