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Controlled attenuation parameter, dB/m (beta coefficient 67.17 (95% CI 62.90 to 71.45),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67.17 (95% CI 62.90 to 71.45)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