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Controlled attenuation parameter, dB/m (beta coefficient 5.36 (95% CI 0.97 to 9.76), false discovery rate q 0.053) among 3001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5.36 (95% CI 0.97 to 9.76)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