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Controlled attenuation parameter, dB/m (beta coefficient 24.94 (95% CI 17.09 to 32.78), false discovery rate q &lt;0.001)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24.94 (95% CI 17.09 to 32.78)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13.4%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