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Controlled attenuation parameter, dB/m (beta coefficient per 1-SD 6.54 (95% CI 3.36 to 9.72), false discovery rate q 0.005)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6.54 (95% CI 3.36 to 9.72)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72.1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