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Controlled attenuation parameter, dB/m (beta coefficient 11.67 (95% CI 5.91 to 17.43), false discovery rate q 0.005)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11.67 (95% CI 5.91 to 17.43)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