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Controlled attenuation parameter, dB/m (beta coefficient per 1-SD 9.37 (95% CI 6.09 to 12.65),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9.37 (95% CI 6.09 to 12.65)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