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Controlled attenuation parameter, dB/m (beta coefficient 22.54 (95% CI 12.46 to 32.62), false discovery rate q 0.003)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22.54 (95% CI 12.46 to 32.62)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