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Controlled attenuation parameter, dB/m (beta coefficient 19.22 (95% CI 6.03 to 32.41), false discovery rate q 0.028)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19.22 (95% CI 6.03 to 32.41)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