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Controlled attenuation parameter, dB/m (beta coefficient -4.32 (95% CI -18.02 to 9.39), false discovery rate q 0.605) among 3001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-4.32 (95% CI -18.02 to 9.39)</w:t>
            </w:r>
          </w:p>
        </w:tc>
        <w:tc>
          <w:tcPr>
            <w:tcW w:type="dxa" w:w="1234"/>
          </w:tcPr>
          <w:p>
            <w:r>
              <w:t>0.549</w:t>
            </w:r>
          </w:p>
        </w:tc>
        <w:tc>
          <w:tcPr>
            <w:tcW w:type="dxa" w:w="1234"/>
          </w:tcPr>
          <w:p>
            <w:r>
              <w:t>0.605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