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Controlled attenuation parameter, dB/m (beta coefficient 6.34 (95% CI -0.24 to 12.92), false discovery rate q 0.110) among 3001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6.34 (95% CI -0.24 to 12.92)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