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Controlled attenuation parameter, dB/m (beta coefficient per 1-SD -2.07 (95% CI -5.72 to 1.58), false discovery rate q 0.349)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-2.07 (95% CI -5.72 to 1.58)</w:t>
            </w:r>
          </w:p>
        </w:tc>
        <w:tc>
          <w:tcPr>
            <w:tcW w:type="dxa" w:w="1234"/>
          </w:tcPr>
          <w:p>
            <w:r>
              <w:t>0.296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