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Controlled attenuation parameter, dB/m (beta coefficient per 1-SD 12.08 (95% CI 8.06 to 16.10), false discovery rate q &lt;0.001)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12.08 (95% CI 8.06 to 16.10)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110.3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