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positively associated with Controlled attenuation parameter, dB/m (beta coefficient per 1-SD 0.77 (95% CI -4.84 to 6.38), false discovery rate q 0.822)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0.77 (95% CI -4.84 to 6.38)</w:t>
            </w:r>
          </w:p>
        </w:tc>
        <w:tc>
          <w:tcPr>
            <w:tcW w:type="dxa" w:w="1234"/>
          </w:tcPr>
          <w:p>
            <w:r>
              <w:t>0.794</w:t>
            </w:r>
          </w:p>
        </w:tc>
        <w:tc>
          <w:tcPr>
            <w:tcW w:type="dxa" w:w="1234"/>
          </w:tcPr>
          <w:p>
            <w:r>
              <w:t>0.822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