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Controlled attenuation parameter, dB/m (beta coefficient per 1-SD -9.51 (95% CI -12.27 to -6.75),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-9.51 (95% CI -12.27 to -6.75)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