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Controlled attenuation parameter, dB/m (beta coefficient per 1-SD 10.55 (95% CI 7.23 to 13.86),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10.55 (95% CI 7.23 to 13.86)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