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Height, cm was positively associated with Controlled attenuation parameter, dB/m (beta coefficient per 1-SD 1.03 (95% CI -3.27 to 5.32), false discovery rate q 0.693) among 3001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1.03 (95% CI -3.27 to 5.32)</w:t>
            </w:r>
          </w:p>
        </w:tc>
        <w:tc>
          <w:tcPr>
            <w:tcW w:type="dxa" w:w="1234"/>
          </w:tcPr>
          <w:p>
            <w:r>
              <w:t>0.649</w:t>
            </w:r>
          </w:p>
        </w:tc>
        <w:tc>
          <w:tcPr>
            <w:tcW w:type="dxa" w:w="1234"/>
          </w:tcPr>
          <w:p>
            <w:r>
              <w:t>0.693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Height, cm (exposure)</w:t>
            </w:r>
          </w:p>
        </w:tc>
        <w:tc>
          <w:tcPr>
            <w:tcW w:type="dxa" w:w="4320"/>
          </w:tcPr>
          <w:p>
            <w:r>
              <w:t>168.0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