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Controlled attenuation parameter, dB/m (beta coefficient 59.09 (95% CI 52.68 to 65.49),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59.09 (95% CI 52.68 to 65.49)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