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Controlled attenuation parameter, dB/m (beta coefficient 18.33 (95% CI 10.86 to 25.79), false discovery rate q 0.002)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18.33 (95% CI 10.86 to 25.79)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10.5%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