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Controlled attenuation parameter, dB/m (beta coefficient 10.28 (95% CI 1.92 to 18.65), false discovery rate q 0.055)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10.28 (95% CI 1.92 to 18.65)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