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Controlled attenuation parameter, dB/m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Hypertriglyceridemia (NCEP TG&gt;=150) was positively associated with Controlled attenuation parameter, dB/m (beta coefficient 23.96 (95% CI 16.62 to 31.30), false discovery rate q &lt;0.001)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23.96 (95% CI 16.62 to 31.30)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Hypertriglyceridemia (NCEP TG&gt;=150) (exposure)</w:t>
            </w:r>
          </w:p>
        </w:tc>
        <w:tc>
          <w:tcPr>
            <w:tcW w:type="dxa" w:w="4320"/>
          </w:tcPr>
          <w:p>
            <w:r>
              <w:t>20.6%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