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Controlled attenuation parameter, dB/m (beta coefficient 27.22 (95% CI 18.77 to 35.66),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27.22 (95% CI 18.77 to 35.66)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