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Controlled attenuation parameter, dB/m (beta coefficient per 1-SD 4.03 (95% CI 0.09 to 7.97), false discovery rate q 0.101)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4.03 (95% CI 0.09 to 7.97)</w:t>
            </w:r>
          </w:p>
        </w:tc>
        <w:tc>
          <w:tcPr>
            <w:tcW w:type="dxa" w:w="1234"/>
          </w:tcPr>
          <w:p>
            <w:r>
              <w:t>0.076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