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Controlled attenuation parameter, dB/m (beta coefficient 11.38 (95% CI -1.38 to 24.14), false discovery rate q 0.147)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11.38 (95% CI -1.38 to 24.14)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  <w:tc>
          <w:tcPr>
            <w:tcW w:type="dxa" w:w="1234"/>
          </w:tcPr>
          <w:p>
            <w:r>
              <w:t>0.147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