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Liver stiffness, kPa and Controlled attenuation parameter, dB/m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Liver stiffness, kPa was positively associated with Controlled attenuation parameter, dB/m (beta coefficient per 1-SD 2.16 (95% CI 0.13 to 4.19), false discovery rate q 0.090) among 3001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2.16 (95% CI 0.13 to 4.19)</w:t>
            </w:r>
          </w:p>
        </w:tc>
        <w:tc>
          <w:tcPr>
            <w:tcW w:type="dxa" w:w="1234"/>
          </w:tcPr>
          <w:p>
            <w:r>
              <w:t>0.067</w:t>
            </w:r>
          </w:p>
        </w:tc>
        <w:tc>
          <w:tcPr>
            <w:tcW w:type="dxa" w:w="1234"/>
          </w:tcPr>
          <w:p>
            <w:r>
              <w:t>0.090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Liver stiffness, kPa (exposure)</w:t>
            </w:r>
          </w:p>
        </w:tc>
        <w:tc>
          <w:tcPr>
            <w:tcW w:type="dxa" w:w="4320"/>
          </w:tcPr>
          <w:p>
            <w:r>
              <w:t>6.1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