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Controlled attenuation parameter, dB/m (beta coefficient 13.22 (95% CI 7.03 to 19.41), false discovery rate q 0.004)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13.22 (95% CI 7.03 to 19.41)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28.6%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