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Controlled attenuation parameter, dB/m (beta coefficient -33.89 (95% CI -42.12 to -25.66),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-33.89 (95% CI -42.12 to -25.66)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