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Controlled attenuation parameter, dB/m (beta coefficient per 1-SD 7.39 (95% CI 0.20 to 14.59), false discovery rate q 0.100)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7.39 (95% CI 0.20 to 14.59)</w:t>
            </w:r>
          </w:p>
        </w:tc>
        <w:tc>
          <w:tcPr>
            <w:tcW w:type="dxa" w:w="1234"/>
          </w:tcPr>
          <w:p>
            <w:r>
              <w:t>0.075</w:t>
            </w:r>
          </w:p>
        </w:tc>
        <w:tc>
          <w:tcPr>
            <w:tcW w:type="dxa" w:w="1234"/>
          </w:tcPr>
          <w:p>
            <w:r>
              <w:t>0.100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