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Controlled attenuation parameter, dB/m (beta coefficient 17.03 (95% CI 11.64 to 22.41), false discovery rate q &lt;0.001) among 3001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17.03 (95% CI 11.64 to 22.41)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