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Controlled attenuation parameter, dB/m (beta coefficient 22.64 (95% CI 11.33 to 33.94), false discovery rate q 0.006)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22.64 (95% CI 11.33 to 33.94)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