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Controlled attenuation parameter, dB/m (beta coefficient per 1-SD 7.55 (95% CI 5.27 to 9.84),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7.55 (95% CI 5.27 to 9.84)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