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Controlled attenuation parameter, dB/m (beta coefficient -5.74 (95% CI -22.51 to 11.02), false discovery rate q 0.576)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-5.74 (95% CI -22.51 to 11.02)</w:t>
            </w:r>
          </w:p>
        </w:tc>
        <w:tc>
          <w:tcPr>
            <w:tcW w:type="dxa" w:w="1234"/>
          </w:tcPr>
          <w:p>
            <w:r>
              <w:t>0.519</w:t>
            </w:r>
          </w:p>
        </w:tc>
        <w:tc>
          <w:tcPr>
            <w:tcW w:type="dxa" w:w="1234"/>
          </w:tcPr>
          <w:p>
            <w:r>
              <w:t>0.576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11.0%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