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Controlled attenuation parameter, dB/m (beta coefficient 60.94 (95% CI 57.82 to 64.05),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60.94 (95% CI 57.82 to 64.05)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