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Controlled attenuation parameter, dB/m (beta coefficient per 1-SD 2.54 (95% CI -0.45 to 5.53), false discovery rate q 0.165)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2.54 (95% CI -0.45 to 5.53)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0.165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