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Controlled attenuation parameter, dB/m (beta coefficient 3.24 (95% CI -0.53 to 7.01), false discovery rate q 0.161)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3.24 (95% CI -0.53 to 7.01)</w:t>
            </w:r>
          </w:p>
        </w:tc>
        <w:tc>
          <w:tcPr>
            <w:tcW w:type="dxa" w:w="1234"/>
          </w:tcPr>
          <w:p>
            <w:r>
              <w:t>0.127</w:t>
            </w:r>
          </w:p>
        </w:tc>
        <w:tc>
          <w:tcPr>
            <w:tcW w:type="dxa" w:w="1234"/>
          </w:tcPr>
          <w:p>
            <w:r>
              <w:t>0.161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38.1%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