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Controlled attenuation parameter, dB/m (beta coefficient per 1-SD -4.58 (95% CI -7.82 to -1.34), false discovery rate q 0.032)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-4.58 (95% CI -7.82 to -1.34)</w:t>
            </w:r>
          </w:p>
        </w:tc>
        <w:tc>
          <w:tcPr>
            <w:tcW w:type="dxa" w:w="1234"/>
          </w:tcPr>
          <w:p>
            <w:r>
              <w:t>0.022</w:t>
            </w:r>
          </w:p>
        </w:tc>
        <w:tc>
          <w:tcPr>
            <w:tcW w:type="dxa" w:w="1234"/>
          </w:tcPr>
          <w:p>
            <w:r>
              <w:t>0.032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