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Controlled attenuation parameter, dB/m (beta coefficient per 1-SD -4.88 (95% CI -8.13 to -1.62), false discovery rate q 0.025)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-4.88 (95% CI -8.13 to -1.62)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