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Controlled attenuation parameter, dB/m (beta coefficient per 1-SD 6.27 (95% CI 2.07 to 10.47), false discovery rate q 0.025)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6.27 (95% CI 2.07 to 10.47)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