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Systolic blood pressure, mmHg and Controlled attenuation parameter, dB/m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Systolic blood pressure, mmHg was positively associated with Controlled attenuation parameter, dB/m (beta coefficient per 1-SD 6.33 (95% CI 3.98 to 8.68), false discovery rate q &lt;0.001) among 3001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Controlled attenuation parameter, dB/m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6.33 (95% CI 3.98 to 8.68)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Systolic blood pressure, mmHg (exposure)</w:t>
            </w:r>
          </w:p>
        </w:tc>
        <w:tc>
          <w:tcPr>
            <w:tcW w:type="dxa" w:w="4320"/>
          </w:tcPr>
          <w:p>
            <w:r>
              <w:t>123.1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