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Controlled attenuation parameter, dB/m (beta coefficient per 1-SD 5.04 (95% CI 2.73 to 7.35), false discovery rate q 0.004)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5.04 (95% CI 2.73 to 7.35)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190.0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