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Controlled attenuation parameter, dB/m (beta coefficient per 1-SD 33.75 (95% CI 29.34 to 38.16),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33.75 (95% CI 29.34 to 38.16)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