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Vitamin D deficiency (&lt;20 ng/mL) and Controlled attenuation parameter, dB/m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Vitamin D deficiency (&lt;20 ng/mL) was positively associated with Controlled attenuation parameter, dB/m (beta coefficient 6.09 (95% CI -1.25 to 13.43), false discovery rate q 0.174) among 3001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Vitamin D deficiency (&lt;20 ng/mL)</w:t>
            </w:r>
          </w:p>
        </w:tc>
        <w:tc>
          <w:tcPr>
            <w:tcW w:type="dxa" w:w="1234"/>
          </w:tcPr>
          <w:p>
            <w:r>
              <w:t>Controlled attenuation parameter, dB/m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6.09 (95% CI -1.25 to 13.43)</w:t>
            </w:r>
          </w:p>
        </w:tc>
        <w:tc>
          <w:tcPr>
            <w:tcW w:type="dxa" w:w="1234"/>
          </w:tcPr>
          <w:p>
            <w:r>
              <w:t>0.138</w:t>
            </w:r>
          </w:p>
        </w:tc>
        <w:tc>
          <w:tcPr>
            <w:tcW w:type="dxa" w:w="1234"/>
          </w:tcPr>
          <w:p>
            <w:r>
              <w:t>0.174</w:t>
            </w:r>
          </w:p>
        </w:tc>
        <w:tc>
          <w:tcPr>
            <w:tcW w:type="dxa" w:w="1234"/>
          </w:tcPr>
          <w:p>
            <w:r>
              <w:t>3001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Vitamin D deficiency (&lt;20 ng/mL) (exposure)</w:t>
            </w:r>
          </w:p>
        </w:tc>
        <w:tc>
          <w:tcPr>
            <w:tcW w:type="dxa" w:w="4320"/>
          </w:tcPr>
          <w:p>
            <w:r>
              <w:t>22.5%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40.5%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92.4%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29.7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