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 circumference, cm and Controlled attenuation parameter, dB/m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Waist circumference, cm was positively associated with Controlled attenuation parameter, dB/m (beta coefficient per 1-SD 37.07 (95% CI 34.94 to 39.20), false discovery rate q &lt;0.001) among 3001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Controlled attenuation parameter, dB/m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37.07 (95% CI 34.94 to 39.20)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3001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Waist circumference, cm (exposure)</w:t>
            </w:r>
          </w:p>
        </w:tc>
        <w:tc>
          <w:tcPr>
            <w:tcW w:type="dxa" w:w="4320"/>
          </w:tcPr>
          <w:p>
            <w:r>
              <w:t>100.4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40.5%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92.4%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