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Controlled attenuation parameter, dB/m (beta coefficient per 1-SD 37.26 (95% CI 35.26 to 39.27),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37.26 (95% CI 35.26 to 39.27)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