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Controlled attenuation parameter, dB/m (beta coefficient per 1-SD 35.51 (95% CI 33.31 to 37.70),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35.51 (95% CI 33.31 to 37.70)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