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Controlled attenuation parameter, dB/m (beta coefficient per 1-SD 4.47 (95% CI -3.63 to 12.57), false discovery rate q 0.362)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4.47 (95% CI -3.63 to 12.57)</w:t>
            </w:r>
          </w:p>
        </w:tc>
        <w:tc>
          <w:tcPr>
            <w:tcW w:type="dxa" w:w="1234"/>
          </w:tcPr>
          <w:p>
            <w:r>
              <w:t>0.308</w:t>
            </w:r>
          </w:p>
        </w:tc>
        <w:tc>
          <w:tcPr>
            <w:tcW w:type="dxa" w:w="1234"/>
          </w:tcPr>
          <w:p>
            <w:r>
              <w:t>0.362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