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positively associated with Current smoking (odds ratio per 1-SD 1.01 (95% CI 0.97 to 1.05), false discovery rate q 0.749) among 26876 adults aged 20 years or older (a weighted Current smoking prevalence of 19.5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1.01 (95% CI 0.97 to 1.05)</w:t>
            </w:r>
          </w:p>
        </w:tc>
        <w:tc>
          <w:tcPr>
            <w:tcW w:type="dxa" w:w="1234"/>
          </w:tcPr>
          <w:p>
            <w:r>
              <w:t>0.712</w:t>
            </w:r>
          </w:p>
        </w:tc>
        <w:tc>
          <w:tcPr>
            <w:tcW w:type="dxa" w:w="1234"/>
          </w:tcPr>
          <w:p>
            <w:r>
              <w:t>0.749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Alanine aminotransferase, IU/L (exposure)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  <w:tc>
          <w:tcPr>
            <w:tcW w:type="dxa" w:w="2160"/>
          </w:tcPr>
          <w:p>
            <w:r>
              <w:t>24.6</w:t>
            </w:r>
          </w:p>
        </w:tc>
        <w:tc>
          <w:tcPr>
            <w:tcW w:type="dxa" w:w="2160"/>
          </w:tcPr>
          <w:p>
            <w:r>
              <w:t>26.1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