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inversely associated with Current smoking (odds ratio per 1-SD 0.82 (95% CI 0.78 to 0.86), false discovery rate q &lt;0.001) among 26876 adults aged 20 years or older (a weighted Current smoking prevalence of 19.5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0.78 to 0.86)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