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Current smoking (odds ratio 0.65 (95% CI 0.55 to 0.77),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0.55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82.3%</w:t>
            </w:r>
          </w:p>
        </w:tc>
        <w:tc>
          <w:tcPr>
            <w:tcW w:type="dxa" w:w="2160"/>
          </w:tcPr>
          <w:p>
            <w:r>
              <w:t>76.2%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